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50CF1" w:rsidRDefault="00F50CF1" w:rsidP="00F50CF1">
      <w:pPr>
        <w:tabs>
          <w:tab w:val="left" w:pos="2977"/>
        </w:tabs>
        <w:spacing w:after="0" w:line="240" w:lineRule="auto"/>
        <w:jc w:val="center"/>
        <w:rPr>
          <w:b/>
          <w:bCs/>
          <w:color w:val="4472C4" w:themeColor="accent1"/>
          <w:sz w:val="52"/>
          <w:szCs w:val="52"/>
          <w:lang w:val="en-US"/>
        </w:rPr>
      </w:pPr>
      <w:r w:rsidRPr="003B11AF">
        <w:rPr>
          <w:b/>
          <w:bCs/>
          <w:color w:val="4472C4" w:themeColor="accent1"/>
          <w:sz w:val="52"/>
          <w:szCs w:val="52"/>
          <w:lang w:val="en-US"/>
        </w:rPr>
        <w:t>A</w:t>
      </w:r>
      <w:r>
        <w:rPr>
          <w:b/>
          <w:bCs/>
          <w:color w:val="4472C4" w:themeColor="accent1"/>
          <w:sz w:val="52"/>
          <w:szCs w:val="52"/>
          <w:lang w:val="en-US"/>
        </w:rPr>
        <w:t>I</w:t>
      </w:r>
      <w:r w:rsidRPr="003B11AF">
        <w:rPr>
          <w:b/>
          <w:bCs/>
          <w:color w:val="4472C4" w:themeColor="accent1"/>
          <w:sz w:val="52"/>
          <w:szCs w:val="52"/>
          <w:lang w:val="en-US"/>
        </w:rPr>
        <w:t>WOS 202</w:t>
      </w:r>
      <w:r>
        <w:rPr>
          <w:b/>
          <w:bCs/>
          <w:color w:val="4472C4" w:themeColor="accent1"/>
          <w:sz w:val="52"/>
          <w:szCs w:val="52"/>
          <w:lang w:val="en-US"/>
        </w:rPr>
        <w:t>4</w:t>
      </w:r>
    </w:p>
    <w:p w:rsidR="00F50CF1" w:rsidRPr="003B11AF" w:rsidRDefault="00F50CF1" w:rsidP="00F50CF1">
      <w:pPr>
        <w:tabs>
          <w:tab w:val="left" w:pos="2977"/>
        </w:tabs>
        <w:spacing w:after="0" w:line="240" w:lineRule="auto"/>
        <w:jc w:val="center"/>
        <w:rPr>
          <w:rFonts w:ascii="Calibri" w:eastAsia="Calibri" w:hAnsi="Calibri" w:cs="Calibri"/>
          <w:b/>
          <w:bCs/>
          <w:i/>
          <w:color w:val="FFC000"/>
          <w:sz w:val="40"/>
          <w:szCs w:val="40"/>
          <w:lang w:val="en-US"/>
        </w:rPr>
      </w:pPr>
      <w:r w:rsidRPr="003B11AF">
        <w:rPr>
          <w:rFonts w:ascii="Calibri" w:eastAsia="Calibri" w:hAnsi="Calibri" w:cs="Calibri"/>
          <w:b/>
          <w:bCs/>
          <w:i/>
          <w:color w:val="FFC000"/>
          <w:sz w:val="40"/>
          <w:szCs w:val="40"/>
          <w:lang w:val="en-US"/>
        </w:rPr>
        <w:t>AICO WEB OLYMPIC SHOW 202</w:t>
      </w:r>
      <w:r>
        <w:rPr>
          <w:rFonts w:ascii="Calibri" w:eastAsia="Calibri" w:hAnsi="Calibri" w:cs="Calibri"/>
          <w:b/>
          <w:bCs/>
          <w:i/>
          <w:color w:val="FFC000"/>
          <w:sz w:val="40"/>
          <w:szCs w:val="40"/>
          <w:lang w:val="en-US"/>
        </w:rPr>
        <w:t>4</w:t>
      </w:r>
    </w:p>
    <w:p w:rsidR="00F50CF1" w:rsidRPr="00577820" w:rsidRDefault="00F50CF1" w:rsidP="00F50CF1">
      <w:pPr>
        <w:tabs>
          <w:tab w:val="left" w:pos="2977"/>
        </w:tabs>
        <w:spacing w:after="0" w:line="240" w:lineRule="auto"/>
        <w:ind w:left="116"/>
        <w:jc w:val="center"/>
        <w:rPr>
          <w:rFonts w:ascii="Calibri" w:eastAsia="Calibri" w:hAnsi="Calibri" w:cs="Calibri"/>
          <w:b/>
          <w:bCs/>
          <w:i/>
          <w:color w:val="FFC000"/>
          <w:sz w:val="32"/>
          <w:szCs w:val="32"/>
          <w:lang w:val="de-DE"/>
        </w:rPr>
      </w:pPr>
      <w:r w:rsidRPr="00577820">
        <w:rPr>
          <w:rFonts w:ascii="Calibri" w:eastAsia="Calibri" w:hAnsi="Calibri" w:cs="Calibri"/>
          <w:b/>
          <w:bCs/>
          <w:i/>
          <w:color w:val="FFC000"/>
          <w:sz w:val="32"/>
          <w:szCs w:val="32"/>
          <w:lang w:val="de-DE"/>
        </w:rPr>
        <w:t>PHILATELY AND MEMORABILIA</w:t>
      </w:r>
    </w:p>
    <w:p w:rsid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p>
    <w:p w:rsid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RÈGLEMENTS</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Chapitre 1 – Détails de l'exposition</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Art. 1 Objectifs et organisation</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L'AICO WEB OLYMPIC SHOW 2024 (AIWOS 2024) est une exposition virtuelle qui aura lieu du 21 SEPTEMBRE au 3 DÉCEMBRE et sera affichée en ligne sur www.aicolympic.org/aiwos2024.</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L'objectif spécifique de l'AIWOS 2024 est de promouvoir l'esprit olympique, grâce à une compétition amicale entre les exposants.</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L'événement est organisé par l'AICO par l'intermédiaire du comité d'organisation, qui a la responsabilité de diriger l'exposition et de la superviser.</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 xml:space="preserve">Les membres du comité d'organisation seront choisis par le conseil d'administration de l'AICO. </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Art. 2 Structure de l'exposition</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AIWOS 2024 comprend les sections d'exposition suivantes :</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lastRenderedPageBreak/>
        <w:t>2.1 Cour d'Honneur, pour les expositions invitées par le Comité d'Organisation pour mettre en valeur l'événement.</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2.2. Philatélie, pour des expositions structurées selon les critères des catégories de concours définies par la Fédération Internationale de Philatélie, dont les plus récentes (Open Philatélie, One Frame, Cartes postales illustrées).</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2.3 Souvenirs, pour les expositions contenant des objets souvenirs olympiques et sportifs et des épinglettes de tout type, à l'exception du matériel interdit, dangereux ou offensant.</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2.4 Les jeunes, pour les jeunes collectionneurs nés après le 31.12.2003, peuvent participer avec des expositions philatéliques et de souvenirs.</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Art. 3 Conditions de participation</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Toutes les classes du concours sont ouvertes à tous les collectionneurs membres d'une association membre de l'AICO. Il n’est pas nécessaire que les jeunes exposants soient membres d’une association membre de l’AICO. Les expositions doivent être consacrées aux Jeux Olympiques, au Mouvement olympique ou à tout sport reconnu par le Comité International Olympique (CIO). Il n’y a pas de frais de cadre pour les exposants.</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lastRenderedPageBreak/>
        <w:t>Il n’est pas nécessaire que les expositions aient obtenu un niveau minimum de médaille lors d’un concours précédent pour pouvoir participer à l’AIWOS 2024.</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Art. 4 Conditions de candidature</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Les demandes de participation doivent être complétées à l'aide du formulaire mis à disposition sur le site www.aicolympic.org/aiwos2024 du 16 AOÛT au 15 SEPTEMBRE 2024.</w:t>
      </w:r>
    </w:p>
    <w:p w:rsidR="00F50CF1" w:rsidRPr="00F50CF1" w:rsidRDefault="00F50CF1" w:rsidP="00F50CF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eastAsia="it-IT"/>
        </w:rPr>
      </w:pPr>
      <w:r w:rsidRPr="00F50CF1">
        <w:rPr>
          <w:rFonts w:ascii="inherit" w:eastAsia="Times New Roman" w:hAnsi="inherit" w:cs="Courier New"/>
          <w:color w:val="1F1F1F"/>
          <w:sz w:val="42"/>
          <w:szCs w:val="42"/>
          <w:lang w:val="fr-FR" w:eastAsia="it-IT"/>
        </w:rPr>
        <w:t>L’adhésion d’un candidat à une association membre de l’AICO sera vérifiée par le comité d’organisation. Si elle n’est pas confirmée, la demande sera rejetée d’office.</w:t>
      </w:r>
    </w:p>
    <w:p w:rsidR="00F50CF1" w:rsidRDefault="00F50CF1"/>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5 Engagements de l'exposant</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En signant le formulaire de candidature, le candidat déclare avoir lu et accepté pleinement tout le règlement de l'AIWOS 2024, et en particulier l'art. 11. Il déclare également que tout le matériel exposé est original et lui appartient et que les images n'ont pas été manipulées pour améliorer l'état apparent des pièces.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xml:space="preserve">Le demandeur autorise également l'AICO et le CIO à publier en ligne les scans de l'exposition pendant toute la durée de l'événement. Le demandeur peut </w:t>
      </w:r>
      <w:r>
        <w:rPr>
          <w:rStyle w:val="y2iqfc"/>
          <w:rFonts w:ascii="inherit" w:hAnsi="inherit"/>
          <w:color w:val="1F1F1F"/>
          <w:sz w:val="42"/>
          <w:szCs w:val="42"/>
          <w:lang w:val="fr-FR"/>
        </w:rPr>
        <w:lastRenderedPageBreak/>
        <w:t>également indiquer son autorisation pour que l'exposition reste sur le site Web de l'AICO une fois l'exposition terminée.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La signature de l’exposant confirme également l’acceptation des règles de confidentialité énoncées à l’art. 21.</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candidatures incomplètes ou ne répondant pas à ces exigences ne seront pas prises en considération.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6 Confirmation de participation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L'acceptation ou le rejet d'une exposition sera communiqué au demandeur avant le 19 SEPTEMBRE 2024. Dans le cas d'expositions acceptées, la date limite absolue pour soumettre des scans de l'ensemble de l'exposition est le 20 OCTOBRE 2024 (les spécifications pour les scans sont fournies à l'article 11)</w:t>
      </w:r>
      <w:proofErr w:type="gramStart"/>
      <w:r>
        <w:rPr>
          <w:rStyle w:val="y2iqfc"/>
          <w:rFonts w:ascii="inherit" w:hAnsi="inherit"/>
          <w:color w:val="1F1F1F"/>
          <w:sz w:val="42"/>
          <w:szCs w:val="42"/>
          <w:lang w:val="fr-FR"/>
        </w:rPr>
        <w:t>. .</w:t>
      </w:r>
      <w:proofErr w:type="gramEnd"/>
      <w:r>
        <w:rPr>
          <w:rStyle w:val="y2iqfc"/>
          <w:rFonts w:ascii="inherit" w:hAnsi="inherit"/>
          <w:color w:val="1F1F1F"/>
          <w:sz w:val="42"/>
          <w:szCs w:val="42"/>
          <w:lang w:val="fr-FR"/>
        </w:rPr>
        <w:t xml:space="preserve"> Les expositions doivent être accompagnées d’un synopsis d’une page au format PDF. Le candidat peut envoyer facultativement une courte présentation illustrant l’exposition en vidéo (maximum 10 minutes) ou au format Power Point (maximum 20 diapositives). Les fichiers avec les scans, le synopsis et toute présentation doivent être envoyés par e-mail via les services de transfert de fichiers volumineux (par exemple </w:t>
      </w:r>
      <w:proofErr w:type="spellStart"/>
      <w:r>
        <w:rPr>
          <w:rStyle w:val="y2iqfc"/>
          <w:rFonts w:ascii="inherit" w:hAnsi="inherit"/>
          <w:color w:val="1F1F1F"/>
          <w:sz w:val="42"/>
          <w:szCs w:val="42"/>
          <w:lang w:val="fr-FR"/>
        </w:rPr>
        <w:t>We</w:t>
      </w:r>
      <w:proofErr w:type="spellEnd"/>
      <w:r>
        <w:rPr>
          <w:rStyle w:val="y2iqfc"/>
          <w:rFonts w:ascii="inherit" w:hAnsi="inherit"/>
          <w:color w:val="1F1F1F"/>
          <w:sz w:val="42"/>
          <w:szCs w:val="42"/>
          <w:lang w:val="fr-FR"/>
        </w:rPr>
        <w:t xml:space="preserve"> Transfer, </w:t>
      </w:r>
      <w:proofErr w:type="spellStart"/>
      <w:r>
        <w:rPr>
          <w:rStyle w:val="y2iqfc"/>
          <w:rFonts w:ascii="inherit" w:hAnsi="inherit"/>
          <w:color w:val="1F1F1F"/>
          <w:sz w:val="42"/>
          <w:szCs w:val="42"/>
          <w:lang w:val="fr-FR"/>
        </w:rPr>
        <w:lastRenderedPageBreak/>
        <w:t>JumboMail</w:t>
      </w:r>
      <w:proofErr w:type="spellEnd"/>
      <w:r>
        <w:rPr>
          <w:rStyle w:val="y2iqfc"/>
          <w:rFonts w:ascii="inherit" w:hAnsi="inherit"/>
          <w:color w:val="1F1F1F"/>
          <w:sz w:val="42"/>
          <w:szCs w:val="42"/>
          <w:lang w:val="fr-FR"/>
        </w:rPr>
        <w:t>, Dropbox, cloud), à l'adresse e-mail aiwos2024@aicolympic.org.</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 xml:space="preserve">Art. 7 Évaluation des expositions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Chaque section compétitive de l'AIWOS 2024 sera jugée par un jury spécial, nommé par le comité d'organisation et formé en fonction du nombre et du type d'expositions. Les jurys seront annoncés au plus tôt le 19 SEPTEMBRE avec notification sur le site www.aicolympic.org/aiwos2024.</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réunions du Jury se dérouleront par visioconférence.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Pour chaque classe compétitive, le Jury remplira une fiche d'évaluation avec des suggestions pour améliorer l'exposition. Ceux-ci seront envoyés par e-mail à l'exposant à l'issue de l'exposition.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 Jury peut demander la visualisation d’un ou plusieurs objets présentés dans une exposition lors d’une conférence Zoom spécialement organisée. Tout manquement entraînera la disqualification de l'exposition de l'AIWOS 2024, sans aucun droit de recours.</w:t>
      </w:r>
    </w:p>
    <w:p w:rsidR="00F50CF1" w:rsidRDefault="00F50CF1" w:rsidP="00F50CF1">
      <w:pPr>
        <w:pStyle w:val="PreformattatoHTML"/>
        <w:shd w:val="clear" w:color="auto" w:fill="F8F9FA"/>
        <w:spacing w:line="540" w:lineRule="atLeast"/>
        <w:rPr>
          <w:rFonts w:ascii="inherit" w:hAnsi="inherit"/>
          <w:color w:val="1F1F1F"/>
          <w:sz w:val="42"/>
          <w:szCs w:val="42"/>
        </w:rPr>
      </w:pPr>
      <w:r>
        <w:rPr>
          <w:rStyle w:val="y2iqfc"/>
          <w:rFonts w:ascii="inherit" w:hAnsi="inherit"/>
          <w:color w:val="1F1F1F"/>
          <w:sz w:val="42"/>
          <w:szCs w:val="42"/>
          <w:lang w:val="fr-FR"/>
        </w:rPr>
        <w:t>Les visiteurs de l'exposition virtuelle AIWOS 2024 auront la possibilité de voter pour leurs expositions préférées. Les gagnants recevront un prix spécial.</w:t>
      </w:r>
    </w:p>
    <w:p w:rsidR="00F50CF1" w:rsidRDefault="00F50CF1"/>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lastRenderedPageBreak/>
        <w:t>Art. 8 Présentation des résultats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résultats de l'exposition seront annoncés lors d'une cérémonie (la date sera annoncée ultérieurement) qui se tiendra sur le site Internet de l'AIWOS 2024. Le président du Jury, ou son délégué, annoncera la meilleure exposition de chaque classe ainsi que les prix spéciaux éventuels. À ce moment-là, la liste des récompenses pour chaque exposition sera publiée sur le site Web. La cérémonie sera enregistrée et disponible sur le site Internet de l'AIWOS 2024.</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Une cérémonie officielle de remise des prix aura lieu lors de la prochaine Foire mondiale des collectionneurs olympiques, ainsi qu'une présentation des meilleures pièces exposées.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exposants pourront réserver une réunion Zoom virtuelle en ligne avec un juré pendant une période de deux semaines après l'exposition.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9 Cour d'honneur</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exposants recevront un diplôme certifiant la participation à l'exposition.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jc w:val="center"/>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Chapitre 2. Exposition philatélique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lastRenderedPageBreak/>
        <w:t>Art. 10 Remise de l'exposition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candidatures doivent être soumises au format de page A4 (ou 8,5" x 11") ou A3 (ou 11" x 17"). Les expositions multi-cadres doivent comporter un minimum de 64 pages et un maximum de 128 pages, en multiples de 16 pages. Les expositions One Frame compteront 16 pages. En comptant le nombre de pages, il est entendu qu’une seule page au format A3 (11" x 17") équivaut à 2 pages.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 Plan et les pages d'exposition, ainsi que le formulaire de présentation et toute présentation ultérieure, doivent être en anglais, ou dans une autre langue du FIP (français, allemand et espagnol).</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scans doivent être réalisés avec les spécifications techniques suivantes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xml:space="preserve">• Résolution : 300 dpi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xml:space="preserve">• Format : </w:t>
      </w:r>
      <w:proofErr w:type="spellStart"/>
      <w:r>
        <w:rPr>
          <w:rStyle w:val="y2iqfc"/>
          <w:rFonts w:ascii="inherit" w:hAnsi="inherit"/>
          <w:color w:val="1F1F1F"/>
          <w:sz w:val="42"/>
          <w:szCs w:val="42"/>
          <w:lang w:val="fr-FR"/>
        </w:rPr>
        <w:t>pdf</w:t>
      </w:r>
      <w:proofErr w:type="spellEnd"/>
      <w:r>
        <w:rPr>
          <w:rStyle w:val="y2iqfc"/>
          <w:rFonts w:ascii="inherit" w:hAnsi="inherit"/>
          <w:color w:val="1F1F1F"/>
          <w:sz w:val="42"/>
          <w:szCs w:val="42"/>
          <w:lang w:val="fr-FR"/>
        </w:rPr>
        <w:t xml:space="preserve"> dans un seul fichier pour chaque exposition (max 200 Mo)</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Les pages doivent être numérisées sans leur protection plastique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Les documents postaux/timbres individuels et tout autre objet exposé doivent être numérisés en taille réelle, c'est-à-dire sans aucune réduction d'échelle.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Un même objet ne peut être présent dans plusieurs points d'une même exposition, ou dans plusieurs expositions, par le même propriétaire.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 xml:space="preserve">Art. 11 Évaluation des expositions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L'évaluation sera menée par un jury composé de jurés internationalement qualifiés dans le domaine de la philatélie olympique et sportive.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Ils fonctionneront conformément au Règlement Général de la Fédération Internationale de Philatélie (FIP) relatif à l'évaluation des expositions (GREV) et au Règlement Particulier (SREV) pour chaque classe de concours philatélique.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Ce règlement mentionné est disponible sur le site www.aicolympic.org/aiwos2024.</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12 récompenses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Chaque exposition se verra attribuer un diplôme de médaille virtuel, le niveau de médaille correspondant au score obtenu. Le système de remise des médailles est le suivant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xml:space="preserve">90 &gt; Grand or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89-85 Or</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84-80 Grand Vermeil</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xml:space="preserve">79-75 Vermeil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xml:space="preserve">74-70 Grand argent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69-65 Argent</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xml:space="preserve">64-60 Bronze argenté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lastRenderedPageBreak/>
        <w:t>59-55 Bronzes</w:t>
      </w:r>
    </w:p>
    <w:p w:rsidR="00F50CF1" w:rsidRPr="00F50CF1" w:rsidRDefault="00F50CF1" w:rsidP="00F50CF1">
      <w:pPr>
        <w:pStyle w:val="PreformattatoHTML"/>
        <w:shd w:val="clear" w:color="auto" w:fill="F8F9FA"/>
        <w:spacing w:line="540" w:lineRule="atLeast"/>
        <w:rPr>
          <w:rFonts w:ascii="inherit" w:hAnsi="inherit"/>
          <w:color w:val="1F1F1F"/>
          <w:sz w:val="42"/>
          <w:szCs w:val="42"/>
          <w:lang w:val="en-US"/>
        </w:rPr>
      </w:pPr>
      <w:r>
        <w:rPr>
          <w:rStyle w:val="y2iqfc"/>
          <w:rFonts w:ascii="inherit" w:hAnsi="inherit"/>
          <w:color w:val="1F1F1F"/>
          <w:sz w:val="42"/>
          <w:szCs w:val="42"/>
          <w:lang w:val="fr-FR"/>
        </w:rPr>
        <w:t>&lt; 54 ans Attestation de participation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 Jury décernera le Grand Prix AIWOS 2024 - Philatélie à la meilleure exposition et décernera également les prix suivants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Meilleure exposition consacrée aux Jeux olympiques et à l'Olympisme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Meilleure exposition dédiée à une ou plusieurs disciplines ou événements sportifs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Meilleure exposition de l'Open Philatélie.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Meilleure exposition de la classe One Frame (16 pages)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 Meilleure exposition jeunesse.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Selon le nombre et le type d'expositions, des prix spéciaux supplémentaires peuvent être attribués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 jury peut également exprimer ses félicitations à une exposition en fonction de son mérite particulier ou de ses réalisations philatéliques exceptionnelles.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jc w:val="center"/>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Chapitre 3 - Exposition de souvenirs</w:t>
      </w: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13 Objets de l'exposition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L'exposition est ouverte à tous les objets de souvenirs olympiques et sportifs, qui sont physiquement détenus et en possession de l'exposant.</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lastRenderedPageBreak/>
        <w:t>Les objets reproduits à partir des originaux ou réputés contrefaits ou non de l'époque historique à laquelle ils se réfèrent, ne peuvent être utilisés.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objets contenus dans les expositions ne doivent pas être de nature offensante, dangereuse ou illégale.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14 Dépôt de l'exposition</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Dans la mesure du possible, les exposants enverront leurs objets selon les critères spécifiés à l'art. 11.</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Dans le cas d'objets tridimensionnels ou d'objets de valeur particulière ou de valeur historique et de collection, chaque objet doit être accompagné d'une photo supplémentaire en compagnie de l'exposant lui-même.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Alternativement, l'exposant peut envoyer avec l'exposition une courte présentation vidéo de l'exposition montrant des objets individuels nécessitant une preuve.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 xml:space="preserve">Art. 15 Évaluation des expositions </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candidatures seront jugées par un jury de jurés coordonné par le président du comité d'organisation et composé d'experts reconnus dans le domaine.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16 récompenses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lastRenderedPageBreak/>
        <w:t>Le Jury des Souvenirs évaluera la meilleure exposition, à laquelle il décernera le Prix Spécial AIWOS 2024 pour les Souvenirs.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En outre, le Jury peut décerner des prix spéciaux, en fonction du type d'exposition présentée.</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Chapitre 4 Dispositions finales</w:t>
      </w: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17 Décisions irrévocables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Les décisions du Comité d'Organisation et les évaluations du Jury sont irrévocables.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Art. 18 Communications avec les exposants</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r>
        <w:rPr>
          <w:rStyle w:val="y2iqfc"/>
          <w:rFonts w:ascii="inherit" w:hAnsi="inherit"/>
          <w:color w:val="1F1F1F"/>
          <w:sz w:val="42"/>
          <w:szCs w:val="42"/>
          <w:lang w:val="fr-FR"/>
        </w:rPr>
        <w:t>La communication avec les exposants se fera exclusivement via le site Internet www.aicolympic.org ou directement par e-mail.</w:t>
      </w:r>
    </w:p>
    <w:p w:rsidR="00F50CF1" w:rsidRDefault="00F50CF1" w:rsidP="00F50CF1">
      <w:pPr>
        <w:pStyle w:val="PreformattatoHTML"/>
        <w:shd w:val="clear" w:color="auto" w:fill="F8F9FA"/>
        <w:spacing w:line="540" w:lineRule="atLeast"/>
        <w:rPr>
          <w:rStyle w:val="y2iqfc"/>
          <w:rFonts w:ascii="inherit" w:hAnsi="inherit"/>
          <w:color w:val="1F1F1F"/>
          <w:sz w:val="42"/>
          <w:szCs w:val="42"/>
          <w:lang w:val="fr-FR"/>
        </w:rPr>
      </w:pPr>
    </w:p>
    <w:p w:rsidR="00F50CF1" w:rsidRPr="00F50CF1" w:rsidRDefault="00F50CF1" w:rsidP="00F50CF1">
      <w:pPr>
        <w:pStyle w:val="PreformattatoHTML"/>
        <w:shd w:val="clear" w:color="auto" w:fill="F8F9FA"/>
        <w:spacing w:line="540" w:lineRule="atLeast"/>
        <w:rPr>
          <w:rStyle w:val="y2iqfc"/>
          <w:rFonts w:ascii="inherit" w:hAnsi="inherit"/>
          <w:b/>
          <w:bCs/>
          <w:color w:val="1F1F1F"/>
          <w:sz w:val="42"/>
          <w:szCs w:val="42"/>
          <w:lang w:val="fr-FR"/>
        </w:rPr>
      </w:pPr>
      <w:r w:rsidRPr="00F50CF1">
        <w:rPr>
          <w:rStyle w:val="y2iqfc"/>
          <w:rFonts w:ascii="inherit" w:hAnsi="inherit"/>
          <w:b/>
          <w:bCs/>
          <w:color w:val="1F1F1F"/>
          <w:sz w:val="42"/>
          <w:szCs w:val="42"/>
          <w:lang w:val="fr-FR"/>
        </w:rPr>
        <w:t xml:space="preserve">Art. 19 Modifications du règlement et </w:t>
      </w:r>
      <w:proofErr w:type="spellStart"/>
      <w:r w:rsidRPr="00F50CF1">
        <w:rPr>
          <w:rStyle w:val="y2iqfc"/>
          <w:rFonts w:ascii="inherit" w:hAnsi="inherit"/>
          <w:b/>
          <w:bCs/>
          <w:color w:val="1F1F1F"/>
          <w:sz w:val="42"/>
          <w:szCs w:val="42"/>
          <w:lang w:val="fr-FR"/>
        </w:rPr>
        <w:t>cas</w:t>
      </w:r>
      <w:proofErr w:type="spellEnd"/>
      <w:r w:rsidRPr="00F50CF1">
        <w:rPr>
          <w:rStyle w:val="y2iqfc"/>
          <w:rFonts w:ascii="inherit" w:hAnsi="inherit"/>
          <w:b/>
          <w:bCs/>
          <w:color w:val="1F1F1F"/>
          <w:sz w:val="42"/>
          <w:szCs w:val="42"/>
          <w:lang w:val="fr-FR"/>
        </w:rPr>
        <w:t xml:space="preserve"> non couverts</w:t>
      </w:r>
    </w:p>
    <w:p w:rsidR="00F50CF1" w:rsidRPr="00F50CF1" w:rsidRDefault="00F50CF1" w:rsidP="00F50CF1">
      <w:pPr>
        <w:pStyle w:val="PreformattatoHTML"/>
        <w:shd w:val="clear" w:color="auto" w:fill="F8F9FA"/>
        <w:spacing w:line="540" w:lineRule="atLeast"/>
        <w:rPr>
          <w:rFonts w:ascii="inherit" w:hAnsi="inherit"/>
          <w:color w:val="1F1F1F"/>
          <w:sz w:val="42"/>
          <w:szCs w:val="42"/>
          <w:lang w:val="fr-FR"/>
        </w:rPr>
      </w:pPr>
      <w:r>
        <w:rPr>
          <w:rStyle w:val="y2iqfc"/>
          <w:rFonts w:ascii="inherit" w:hAnsi="inherit"/>
          <w:color w:val="1F1F1F"/>
          <w:sz w:val="42"/>
          <w:szCs w:val="42"/>
          <w:lang w:val="fr-FR"/>
        </w:rPr>
        <w:t>Le Comité d'Organisation se réserve le droit de modifier le règlement susmentionné, en informant sans délai tous les exposants. Les cas non couverts par ce règlement seront tranchés par le Comité d'Organisation.</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Art. 20 Protection des données et confidentialité</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 xml:space="preserve">Les données fournies par les exposants seront utilisées pour l'organisation et l'évaluation de </w:t>
      </w:r>
      <w:r w:rsidRPr="00F50CF1">
        <w:rPr>
          <w:rFonts w:ascii="inherit" w:eastAsia="Times New Roman" w:hAnsi="inherit" w:cs="Courier New"/>
          <w:color w:val="1F1F1F"/>
          <w:sz w:val="42"/>
          <w:szCs w:val="42"/>
          <w:lang w:val="fr-FR" w:eastAsia="it-IT"/>
        </w:rPr>
        <w:lastRenderedPageBreak/>
        <w:t>l'exposition et pourront être stockées et transmises aussi bien sous format électronique que papier.</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Les données personnelles des exposants seront traitées conformément à la loi européenne sur l'utilisation des données personnelles. Le responsable de leur traitement est le président du comité d'organisation.</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Chapitre 5 Comité d'organisation et adresses de contact</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Art. 21 Comité d'organisation</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r w:rsidRPr="00F50CF1">
        <w:rPr>
          <w:rFonts w:ascii="inherit" w:eastAsia="Times New Roman" w:hAnsi="inherit" w:cs="Courier New"/>
          <w:color w:val="1F1F1F"/>
          <w:sz w:val="42"/>
          <w:szCs w:val="42"/>
          <w:lang w:val="fr-FR" w:eastAsia="it-IT"/>
        </w:rPr>
        <w:t>Président : Massimiliano BRUNO massibru@libero.it</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F1F1F"/>
          <w:sz w:val="42"/>
          <w:szCs w:val="42"/>
          <w:lang w:val="fr-FR" w:eastAsia="it-IT"/>
        </w:rPr>
      </w:pP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Membres : Thomas LIPPERT lippert@imos-online.de</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Marc MAESTRONE markspi@prodigy.net</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Rufin SCHULLIAN rufin.schullian@hotmail.com</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val="fr-FR" w:eastAsia="it-IT"/>
        </w:rPr>
      </w:pPr>
      <w:r w:rsidRPr="00F50CF1">
        <w:rPr>
          <w:rFonts w:ascii="inherit" w:eastAsia="Times New Roman" w:hAnsi="inherit" w:cs="Courier New"/>
          <w:b/>
          <w:bCs/>
          <w:color w:val="1F1F1F"/>
          <w:sz w:val="42"/>
          <w:szCs w:val="42"/>
          <w:lang w:val="fr-FR" w:eastAsia="it-IT"/>
        </w:rPr>
        <w:t>Site officiel : www.aicolympic.org/aiwos2024</w:t>
      </w:r>
    </w:p>
    <w:p w:rsidR="00F50CF1" w:rsidRPr="00F50CF1" w:rsidRDefault="00F50CF1" w:rsidP="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b/>
          <w:bCs/>
          <w:color w:val="1F1F1F"/>
          <w:sz w:val="42"/>
          <w:szCs w:val="42"/>
          <w:lang w:eastAsia="it-IT"/>
        </w:rPr>
      </w:pPr>
      <w:r w:rsidRPr="00F50CF1">
        <w:rPr>
          <w:rFonts w:ascii="inherit" w:eastAsia="Times New Roman" w:hAnsi="inherit" w:cs="Courier New"/>
          <w:b/>
          <w:bCs/>
          <w:color w:val="1F1F1F"/>
          <w:sz w:val="42"/>
          <w:szCs w:val="42"/>
          <w:lang w:val="fr-FR" w:eastAsia="it-IT"/>
        </w:rPr>
        <w:t>Courriel : aiwos2024@aicolympic.org</w:t>
      </w:r>
    </w:p>
    <w:p w:rsidR="00F50CF1" w:rsidRPr="00F50CF1" w:rsidRDefault="00F50CF1" w:rsidP="00F50CF1">
      <w:pPr>
        <w:shd w:val="clear" w:color="auto" w:fill="F8F9FA"/>
        <w:spacing w:after="0" w:line="240" w:lineRule="auto"/>
        <w:rPr>
          <w:rFonts w:ascii="Arial" w:eastAsia="Times New Roman" w:hAnsi="Arial" w:cs="Arial"/>
          <w:i/>
          <w:iCs/>
          <w:color w:val="1F1F1F"/>
          <w:sz w:val="18"/>
          <w:szCs w:val="18"/>
          <w:lang w:eastAsia="it-IT"/>
        </w:rPr>
      </w:pPr>
      <w:bookmarkStart w:id="0" w:name="_GoBack"/>
      <w:bookmarkEnd w:id="0"/>
    </w:p>
    <w:p w:rsidR="00F50CF1" w:rsidRPr="00F50CF1" w:rsidRDefault="00F50CF1">
      <w:pPr>
        <w:rPr>
          <w:lang w:val="fr-FR"/>
        </w:rPr>
      </w:pPr>
    </w:p>
    <w:sectPr w:rsidR="00F50CF1" w:rsidRPr="00F50CF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CF1"/>
    <w:rsid w:val="00F50C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F0239"/>
  <w15:chartTrackingRefBased/>
  <w15:docId w15:val="{134157EA-0674-4122-98B4-03CAC9F06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unhideWhenUsed/>
    <w:rsid w:val="00F50C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F50CF1"/>
    <w:rPr>
      <w:rFonts w:ascii="Courier New" w:eastAsia="Times New Roman" w:hAnsi="Courier New" w:cs="Courier New"/>
      <w:sz w:val="20"/>
      <w:szCs w:val="20"/>
      <w:lang w:eastAsia="it-IT"/>
    </w:rPr>
  </w:style>
  <w:style w:type="character" w:customStyle="1" w:styleId="y2iqfc">
    <w:name w:val="y2iqfc"/>
    <w:basedOn w:val="Carpredefinitoparagrafo"/>
    <w:rsid w:val="00F50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6022">
      <w:bodyDiv w:val="1"/>
      <w:marLeft w:val="0"/>
      <w:marRight w:val="0"/>
      <w:marTop w:val="0"/>
      <w:marBottom w:val="0"/>
      <w:divBdr>
        <w:top w:val="none" w:sz="0" w:space="0" w:color="auto"/>
        <w:left w:val="none" w:sz="0" w:space="0" w:color="auto"/>
        <w:bottom w:val="none" w:sz="0" w:space="0" w:color="auto"/>
        <w:right w:val="none" w:sz="0" w:space="0" w:color="auto"/>
      </w:divBdr>
      <w:divsChild>
        <w:div w:id="1452243307">
          <w:marLeft w:val="0"/>
          <w:marRight w:val="0"/>
          <w:marTop w:val="0"/>
          <w:marBottom w:val="0"/>
          <w:divBdr>
            <w:top w:val="none" w:sz="0" w:space="0" w:color="auto"/>
            <w:left w:val="none" w:sz="0" w:space="0" w:color="auto"/>
            <w:bottom w:val="none" w:sz="0" w:space="0" w:color="auto"/>
            <w:right w:val="none" w:sz="0" w:space="0" w:color="auto"/>
          </w:divBdr>
          <w:divsChild>
            <w:div w:id="1512911304">
              <w:marLeft w:val="0"/>
              <w:marRight w:val="0"/>
              <w:marTop w:val="0"/>
              <w:marBottom w:val="0"/>
              <w:divBdr>
                <w:top w:val="none" w:sz="0" w:space="0" w:color="auto"/>
                <w:left w:val="none" w:sz="0" w:space="0" w:color="auto"/>
                <w:bottom w:val="none" w:sz="0" w:space="0" w:color="auto"/>
                <w:right w:val="none" w:sz="0" w:space="0" w:color="auto"/>
              </w:divBdr>
              <w:divsChild>
                <w:div w:id="1273509827">
                  <w:marLeft w:val="0"/>
                  <w:marRight w:val="0"/>
                  <w:marTop w:val="0"/>
                  <w:marBottom w:val="0"/>
                  <w:divBdr>
                    <w:top w:val="none" w:sz="0" w:space="0" w:color="auto"/>
                    <w:left w:val="none" w:sz="0" w:space="0" w:color="auto"/>
                    <w:bottom w:val="none" w:sz="0" w:space="0" w:color="auto"/>
                    <w:right w:val="none" w:sz="0" w:space="0" w:color="auto"/>
                  </w:divBdr>
                  <w:divsChild>
                    <w:div w:id="2145541295">
                      <w:marLeft w:val="0"/>
                      <w:marRight w:val="0"/>
                      <w:marTop w:val="0"/>
                      <w:marBottom w:val="0"/>
                      <w:divBdr>
                        <w:top w:val="none" w:sz="0" w:space="0" w:color="auto"/>
                        <w:left w:val="none" w:sz="0" w:space="0" w:color="auto"/>
                        <w:bottom w:val="none" w:sz="0" w:space="0" w:color="auto"/>
                        <w:right w:val="none" w:sz="0" w:space="0" w:color="auto"/>
                      </w:divBdr>
                      <w:divsChild>
                        <w:div w:id="1495492268">
                          <w:marLeft w:val="0"/>
                          <w:marRight w:val="0"/>
                          <w:marTop w:val="0"/>
                          <w:marBottom w:val="0"/>
                          <w:divBdr>
                            <w:top w:val="none" w:sz="0" w:space="0" w:color="auto"/>
                            <w:left w:val="none" w:sz="0" w:space="0" w:color="auto"/>
                            <w:bottom w:val="none" w:sz="0" w:space="0" w:color="auto"/>
                            <w:right w:val="none" w:sz="0" w:space="0" w:color="auto"/>
                          </w:divBdr>
                          <w:divsChild>
                            <w:div w:id="858350001">
                              <w:marLeft w:val="0"/>
                              <w:marRight w:val="0"/>
                              <w:marTop w:val="0"/>
                              <w:marBottom w:val="0"/>
                              <w:divBdr>
                                <w:top w:val="none" w:sz="0" w:space="0" w:color="auto"/>
                                <w:left w:val="none" w:sz="0" w:space="0" w:color="auto"/>
                                <w:bottom w:val="none" w:sz="0" w:space="0" w:color="auto"/>
                                <w:right w:val="none" w:sz="0" w:space="0" w:color="auto"/>
                              </w:divBdr>
                              <w:divsChild>
                                <w:div w:id="545064218">
                                  <w:marLeft w:val="0"/>
                                  <w:marRight w:val="0"/>
                                  <w:marTop w:val="0"/>
                                  <w:marBottom w:val="0"/>
                                  <w:divBdr>
                                    <w:top w:val="none" w:sz="0" w:space="0" w:color="auto"/>
                                    <w:left w:val="none" w:sz="0" w:space="0" w:color="auto"/>
                                    <w:bottom w:val="none" w:sz="0" w:space="0" w:color="auto"/>
                                    <w:right w:val="none" w:sz="0" w:space="0" w:color="auto"/>
                                  </w:divBdr>
                                  <w:divsChild>
                                    <w:div w:id="87311120">
                                      <w:marLeft w:val="0"/>
                                      <w:marRight w:val="0"/>
                                      <w:marTop w:val="0"/>
                                      <w:marBottom w:val="0"/>
                                      <w:divBdr>
                                        <w:top w:val="none" w:sz="0" w:space="0" w:color="auto"/>
                                        <w:left w:val="none" w:sz="0" w:space="0" w:color="auto"/>
                                        <w:bottom w:val="none" w:sz="0" w:space="0" w:color="auto"/>
                                        <w:right w:val="none" w:sz="0" w:space="0" w:color="auto"/>
                                      </w:divBdr>
                                    </w:div>
                                    <w:div w:id="487592708">
                                      <w:marLeft w:val="0"/>
                                      <w:marRight w:val="0"/>
                                      <w:marTop w:val="0"/>
                                      <w:marBottom w:val="0"/>
                                      <w:divBdr>
                                        <w:top w:val="none" w:sz="0" w:space="0" w:color="auto"/>
                                        <w:left w:val="none" w:sz="0" w:space="0" w:color="auto"/>
                                        <w:bottom w:val="none" w:sz="0" w:space="0" w:color="auto"/>
                                        <w:right w:val="none" w:sz="0" w:space="0" w:color="auto"/>
                                      </w:divBdr>
                                      <w:divsChild>
                                        <w:div w:id="1761179273">
                                          <w:marLeft w:val="0"/>
                                          <w:marRight w:val="165"/>
                                          <w:marTop w:val="150"/>
                                          <w:marBottom w:val="0"/>
                                          <w:divBdr>
                                            <w:top w:val="none" w:sz="0" w:space="0" w:color="auto"/>
                                            <w:left w:val="none" w:sz="0" w:space="0" w:color="auto"/>
                                            <w:bottom w:val="none" w:sz="0" w:space="0" w:color="auto"/>
                                            <w:right w:val="none" w:sz="0" w:space="0" w:color="auto"/>
                                          </w:divBdr>
                                          <w:divsChild>
                                            <w:div w:id="1010329273">
                                              <w:marLeft w:val="0"/>
                                              <w:marRight w:val="0"/>
                                              <w:marTop w:val="0"/>
                                              <w:marBottom w:val="0"/>
                                              <w:divBdr>
                                                <w:top w:val="none" w:sz="0" w:space="0" w:color="auto"/>
                                                <w:left w:val="none" w:sz="0" w:space="0" w:color="auto"/>
                                                <w:bottom w:val="none" w:sz="0" w:space="0" w:color="auto"/>
                                                <w:right w:val="none" w:sz="0" w:space="0" w:color="auto"/>
                                              </w:divBdr>
                                              <w:divsChild>
                                                <w:div w:id="175959356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4034758">
      <w:bodyDiv w:val="1"/>
      <w:marLeft w:val="0"/>
      <w:marRight w:val="0"/>
      <w:marTop w:val="0"/>
      <w:marBottom w:val="0"/>
      <w:divBdr>
        <w:top w:val="none" w:sz="0" w:space="0" w:color="auto"/>
        <w:left w:val="none" w:sz="0" w:space="0" w:color="auto"/>
        <w:bottom w:val="none" w:sz="0" w:space="0" w:color="auto"/>
        <w:right w:val="none" w:sz="0" w:space="0" w:color="auto"/>
      </w:divBdr>
    </w:div>
    <w:div w:id="1174875167">
      <w:bodyDiv w:val="1"/>
      <w:marLeft w:val="0"/>
      <w:marRight w:val="0"/>
      <w:marTop w:val="0"/>
      <w:marBottom w:val="0"/>
      <w:divBdr>
        <w:top w:val="none" w:sz="0" w:space="0" w:color="auto"/>
        <w:left w:val="none" w:sz="0" w:space="0" w:color="auto"/>
        <w:bottom w:val="none" w:sz="0" w:space="0" w:color="auto"/>
        <w:right w:val="none" w:sz="0" w:space="0" w:color="auto"/>
      </w:divBdr>
    </w:div>
    <w:div w:id="1393701382">
      <w:bodyDiv w:val="1"/>
      <w:marLeft w:val="0"/>
      <w:marRight w:val="0"/>
      <w:marTop w:val="0"/>
      <w:marBottom w:val="0"/>
      <w:divBdr>
        <w:top w:val="none" w:sz="0" w:space="0" w:color="auto"/>
        <w:left w:val="none" w:sz="0" w:space="0" w:color="auto"/>
        <w:bottom w:val="none" w:sz="0" w:space="0" w:color="auto"/>
        <w:right w:val="none" w:sz="0" w:space="0" w:color="auto"/>
      </w:divBdr>
    </w:div>
    <w:div w:id="211539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1722</Words>
  <Characters>9821</Characters>
  <Application>Microsoft Office Word</Application>
  <DocSecurity>0</DocSecurity>
  <Lines>81</Lines>
  <Paragraphs>23</Paragraphs>
  <ScaleCrop>false</ScaleCrop>
  <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Massimiliano Bruno</dc:creator>
  <cp:keywords/>
  <dc:description/>
  <cp:lastModifiedBy>Massimiliano Bruno</cp:lastModifiedBy>
  <cp:revision>1</cp:revision>
  <dcterms:created xsi:type="dcterms:W3CDTF">2024-08-31T16:12:00Z</dcterms:created>
  <dcterms:modified xsi:type="dcterms:W3CDTF">2024-08-31T16:17:00Z</dcterms:modified>
</cp:coreProperties>
</file>